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C65AE9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bookmarkStart w:id="0" w:name="_GoBack"/>
      <w:bookmarkEnd w:id="0"/>
      <w:r w:rsidRPr="00C65AE9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>
        <w:rPr>
          <w:rFonts w:ascii="Arial" w:hAnsi="Arial" w:cs="Arial"/>
        </w:rPr>
        <w:t>Territorial en sesión del día 02</w:t>
      </w:r>
      <w:r w:rsidR="00252779">
        <w:rPr>
          <w:rFonts w:ascii="Arial" w:hAnsi="Arial" w:cs="Arial"/>
        </w:rPr>
        <w:t xml:space="preserve"> de marzo</w:t>
      </w:r>
      <w:r w:rsidR="004D3470">
        <w:rPr>
          <w:rFonts w:ascii="Arial" w:hAnsi="Arial" w:cs="Arial"/>
        </w:rPr>
        <w:t xml:space="preserve"> de 2026</w:t>
      </w:r>
    </w:p>
    <w:p w:rsidR="004A5621" w:rsidRPr="00C65AE9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  <w:sz w:val="24"/>
          <w:szCs w:val="24"/>
        </w:rPr>
      </w:pPr>
      <w:r w:rsidRPr="00685132">
        <w:rPr>
          <w:rFonts w:ascii="Arial" w:hAnsi="Arial" w:cs="Arial"/>
          <w:b/>
          <w:bCs/>
          <w:color w:val="0A0A0A"/>
          <w:sz w:val="24"/>
          <w:szCs w:val="24"/>
        </w:rPr>
        <w:t>PROYECTO</w:t>
      </w:r>
      <w:r w:rsidR="00EE6C8B">
        <w:rPr>
          <w:rFonts w:ascii="Arial" w:hAnsi="Arial" w:cs="Arial"/>
          <w:b/>
          <w:bCs/>
          <w:color w:val="0A0A0A"/>
          <w:sz w:val="24"/>
          <w:szCs w:val="24"/>
        </w:rPr>
        <w:t xml:space="preserve"> DE ACUERDO 068</w:t>
      </w:r>
      <w:r w:rsidR="00BC69F0">
        <w:rPr>
          <w:rFonts w:ascii="Arial" w:hAnsi="Arial" w:cs="Arial"/>
          <w:b/>
          <w:bCs/>
          <w:color w:val="0A0A0A"/>
          <w:sz w:val="24"/>
          <w:szCs w:val="24"/>
        </w:rPr>
        <w:t xml:space="preserve"> DE 2026</w:t>
      </w: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s-CO"/>
        </w:rPr>
      </w:pPr>
    </w:p>
    <w:p w:rsidR="0070445A" w:rsidRPr="0070445A" w:rsidRDefault="0070445A" w:rsidP="0070445A">
      <w:pPr>
        <w:widowControl w:val="0"/>
        <w:jc w:val="center"/>
        <w:rPr>
          <w:rFonts w:ascii="Arial" w:eastAsia="Arial" w:hAnsi="Arial" w:cs="Arial"/>
          <w:b/>
        </w:rPr>
      </w:pPr>
      <w:r w:rsidRPr="0070445A">
        <w:rPr>
          <w:rFonts w:ascii="Arial" w:eastAsia="Arial" w:hAnsi="Arial" w:cs="Arial"/>
          <w:b/>
        </w:rPr>
        <w:t>“POR EL CUAL SE INSTITUCIONALIZA LA BIENAL INTERNACIONAL DE ARTE Y CIUDAD DE BOGOTÁ COMO EVENTO PERMANENTE</w:t>
      </w:r>
      <w:r w:rsidR="00D30771">
        <w:rPr>
          <w:rFonts w:ascii="Arial" w:eastAsia="Arial" w:hAnsi="Arial" w:cs="Arial"/>
          <w:b/>
        </w:rPr>
        <w:t xml:space="preserve"> DE INTERÉS CULTURAL DISTRITAL”</w:t>
      </w:r>
    </w:p>
    <w:p w:rsidR="0070445A" w:rsidRPr="0070445A" w:rsidRDefault="0070445A" w:rsidP="0070445A">
      <w:pPr>
        <w:jc w:val="center"/>
        <w:rPr>
          <w:rFonts w:ascii="Arial" w:eastAsia="Arial" w:hAnsi="Arial" w:cs="Arial"/>
          <w:b/>
        </w:rPr>
      </w:pPr>
      <w:r w:rsidRPr="0070445A">
        <w:rPr>
          <w:rFonts w:ascii="Arial" w:eastAsia="Arial" w:hAnsi="Arial" w:cs="Arial"/>
          <w:b/>
        </w:rPr>
        <w:t>EL CONCEJO DE BOGOTÁ D.C.</w:t>
      </w:r>
    </w:p>
    <w:p w:rsidR="0070445A" w:rsidRDefault="0070445A" w:rsidP="0070445A">
      <w:pPr>
        <w:jc w:val="center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En ejercicio de las facultades que le confiere los numerales 1 y 9 del artículo 313 de la Constitución Política de Colombia y los numerales 1 y 13 del artículo 12 del Decreto Ley 1421 de 1993.  </w:t>
      </w:r>
    </w:p>
    <w:p w:rsidR="0070445A" w:rsidRPr="0070445A" w:rsidRDefault="0070445A" w:rsidP="0070445A">
      <w:pPr>
        <w:pStyle w:val="Ttulo3"/>
        <w:widowControl w:val="0"/>
        <w:tabs>
          <w:tab w:val="left" w:pos="3576"/>
          <w:tab w:val="left" w:pos="5617"/>
        </w:tabs>
        <w:spacing w:before="280" w:after="280"/>
        <w:jc w:val="center"/>
        <w:rPr>
          <w:rFonts w:ascii="Arial" w:eastAsia="Arial" w:hAnsi="Arial" w:cs="Arial"/>
          <w:b/>
        </w:rPr>
      </w:pPr>
      <w:r w:rsidRPr="0070445A">
        <w:rPr>
          <w:rFonts w:ascii="Arial" w:eastAsia="Arial" w:hAnsi="Arial" w:cs="Arial"/>
          <w:b/>
          <w:color w:val="auto"/>
          <w:sz w:val="22"/>
          <w:szCs w:val="22"/>
        </w:rPr>
        <w:t>A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C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U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E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R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D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70445A">
        <w:rPr>
          <w:rFonts w:ascii="Arial" w:eastAsia="Arial" w:hAnsi="Arial" w:cs="Arial"/>
          <w:b/>
          <w:color w:val="auto"/>
          <w:sz w:val="22"/>
          <w:szCs w:val="22"/>
        </w:rPr>
        <w:t>A</w:t>
      </w:r>
      <w:r w:rsidR="00854B25">
        <w:rPr>
          <w:rFonts w:ascii="Arial" w:eastAsia="Arial" w:hAnsi="Arial" w:cs="Arial"/>
          <w:b/>
          <w:color w:val="auto"/>
          <w:sz w:val="22"/>
          <w:szCs w:val="22"/>
        </w:rPr>
        <w:t>: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1.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Objeto. </w:t>
      </w:r>
      <w:r w:rsidRPr="75311818">
        <w:rPr>
          <w:rFonts w:ascii="Arial" w:eastAsia="Arial" w:hAnsi="Arial" w:cs="Arial"/>
        </w:rPr>
        <w:t xml:space="preserve">Institucionalizar la Bienal Internacional de Arte y Ciudad de Bogotá como evento permanente de interés cultural distrital, para garantizar su realización periódica como una de las manifestaciones artísticas más importantes de la ciudad.  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2.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Definición. </w:t>
      </w:r>
      <w:r w:rsidRPr="75311818">
        <w:rPr>
          <w:rFonts w:ascii="Arial" w:eastAsia="Arial" w:hAnsi="Arial" w:cs="Arial"/>
        </w:rPr>
        <w:t>La Bienal Internacional de Arte y Ciudad de Bogotá es un evento de circulación artística de gran escala que se realizará cada dos años, reuniendo a artistas, curadores, críticos y público en torno a diversas expresiones del arte contemporáneo, con el propósito de posicionar a Bogotá como referente cultural internacional y fortalecer la escena artística local.</w:t>
      </w:r>
    </w:p>
    <w:p w:rsidR="0070445A" w:rsidRDefault="0070445A" w:rsidP="0070445A">
      <w:pPr>
        <w:keepLines/>
        <w:widowControl w:val="0"/>
        <w:tabs>
          <w:tab w:val="left" w:pos="3576"/>
          <w:tab w:val="left" w:pos="5617"/>
        </w:tabs>
        <w:spacing w:before="240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3.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Objetivos.</w:t>
      </w:r>
      <w:r w:rsidRPr="75311818">
        <w:rPr>
          <w:rFonts w:ascii="Arial" w:eastAsia="Arial" w:hAnsi="Arial" w:cs="Arial"/>
        </w:rPr>
        <w:t xml:space="preserve"> La Bienal Internacional de Arte y Ciudad de Bogotá tendrá los siguientes objetivos: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Consolidar a Bogotá como eje del arte contemporáneo en Colombia y referente internacional.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Fomentar el talento local y promover el intercambio artístico internacional.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Transformar el espacio público a través de intervenciones artísticas.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Impulsar el turismo cultural y dinamizar la economía local.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Fortalecer alianzas estratégicas entre los sectores público, privado y académico.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Desarrollar nuevas audiencias para la cultura y el arte contemporáneo.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4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Contribuir a la construcción de ciudadanía y apropiación del territorio.</w:t>
      </w:r>
    </w:p>
    <w:p w:rsidR="0070445A" w:rsidRDefault="0070445A" w:rsidP="0070445A">
      <w:pPr>
        <w:keepLines/>
        <w:widowControl w:val="0"/>
        <w:tabs>
          <w:tab w:val="left" w:pos="3576"/>
          <w:tab w:val="left" w:pos="5617"/>
        </w:tabs>
        <w:spacing w:before="240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4.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Características.</w:t>
      </w:r>
      <w:r w:rsidRPr="75311818">
        <w:rPr>
          <w:rFonts w:ascii="Arial" w:eastAsia="Arial" w:hAnsi="Arial" w:cs="Arial"/>
        </w:rPr>
        <w:t xml:space="preserve"> La Bienal Internacional de Arte y Ciudad de Bogotá se caracterizará por: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Su realización bienal en los años impares.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La participación de artistas locales,</w:t>
      </w:r>
      <w:r w:rsidRPr="75311818">
        <w:rPr>
          <w:rFonts w:ascii="Arial" w:eastAsia="Arial" w:hAnsi="Arial" w:cs="Arial"/>
          <w:b/>
          <w:bCs/>
        </w:rPr>
        <w:t xml:space="preserve"> </w:t>
      </w:r>
      <w:r w:rsidRPr="75311818">
        <w:rPr>
          <w:rFonts w:ascii="Arial" w:eastAsia="Arial" w:hAnsi="Arial" w:cs="Arial"/>
        </w:rPr>
        <w:t>nacionales e internacionales de reconocida trayectoria.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La inclusión de intervenciones artísticas en el espacio público.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El desarrollo de una agenda académica y de mediación cultural.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La utilización de espacios emblemáticos de la ciudad. </w:t>
      </w:r>
    </w:p>
    <w:p w:rsidR="0070445A" w:rsidRDefault="0070445A" w:rsidP="0070445A">
      <w:pPr>
        <w:pStyle w:val="Prrafodelista"/>
        <w:widowControl w:val="0"/>
        <w:numPr>
          <w:ilvl w:val="0"/>
          <w:numId w:val="15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40053D2">
        <w:rPr>
          <w:rFonts w:ascii="Arial" w:eastAsia="Arial" w:hAnsi="Arial" w:cs="Arial"/>
        </w:rPr>
        <w:t>La promoción de la diversidad y la inclusión en todas sus manifestaciones.</w:t>
      </w:r>
    </w:p>
    <w:p w:rsidR="0070445A" w:rsidRDefault="0070445A" w:rsidP="0070445A">
      <w:pPr>
        <w:keepLines/>
        <w:widowControl w:val="0"/>
        <w:tabs>
          <w:tab w:val="left" w:pos="3576"/>
          <w:tab w:val="left" w:pos="5617"/>
        </w:tabs>
        <w:spacing w:before="240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lastRenderedPageBreak/>
        <w:t>Artículo 5.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Responsabilidades.</w:t>
      </w:r>
      <w:r w:rsidRPr="75311818">
        <w:rPr>
          <w:rFonts w:ascii="Arial" w:eastAsia="Arial" w:hAnsi="Arial" w:cs="Arial"/>
        </w:rPr>
        <w:t xml:space="preserve"> La Administración Distrital, en cabeza del Sector de Cultura, Recreación y Deporte, coordinará las acciones necesarias para la realización de la Bienal Internacional de Arte y Ciudad de Bogotá, en articulación con las demás entidades distritales competentes y en colaboración con artistas, organizaciones del sector cultural y creativo, el Consejo Distrital de Artes Plásticas y Visuales, el sector productivo y la academia.</w:t>
      </w:r>
    </w:p>
    <w:p w:rsidR="0070445A" w:rsidRPr="0070445A" w:rsidRDefault="0070445A" w:rsidP="0070445A">
      <w:pPr>
        <w:keepLines/>
        <w:widowControl w:val="0"/>
        <w:tabs>
          <w:tab w:val="left" w:pos="3576"/>
          <w:tab w:val="left" w:pos="5617"/>
        </w:tabs>
        <w:spacing w:before="240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Parágrafo 1.</w:t>
      </w:r>
      <w:r w:rsidRPr="75311818">
        <w:rPr>
          <w:rFonts w:ascii="Arial" w:eastAsia="Arial" w:hAnsi="Arial" w:cs="Arial"/>
        </w:rPr>
        <w:t xml:space="preserve"> La Secretaría Distrital de Cultura, Recreación y Deporte será la entidad líder responsable de la coordinación, planeación y ejecución de la Bienal. 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Parágrafo 2.</w:t>
      </w:r>
      <w:r w:rsidRPr="75311818">
        <w:rPr>
          <w:rFonts w:ascii="Arial" w:eastAsia="Arial" w:hAnsi="Arial" w:cs="Arial"/>
        </w:rPr>
        <w:t xml:space="preserve"> La Administración Distrital promoverá la participación de entidades públicas, privadas, académicas e internacionales en la financiación y desarrollo de la Bienal.</w:t>
      </w:r>
    </w:p>
    <w:p w:rsidR="0070445A" w:rsidRDefault="0070445A" w:rsidP="0070445A">
      <w:pPr>
        <w:keepLines/>
        <w:widowControl w:val="0"/>
        <w:tabs>
          <w:tab w:val="left" w:pos="3576"/>
          <w:tab w:val="left" w:pos="5617"/>
        </w:tabs>
        <w:spacing w:before="240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6.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Programación y contenidos.</w:t>
      </w:r>
      <w:r w:rsidRPr="75311818">
        <w:rPr>
          <w:rFonts w:ascii="Arial" w:eastAsia="Arial" w:hAnsi="Arial" w:cs="Arial"/>
        </w:rPr>
        <w:t xml:space="preserve"> La programación de la Bienal incluirá como mínimo: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3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Selección curatorial de artistas locales, nacionales e internacionales.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3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Intervenciones artísticas en el espacio público.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3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Exposiciones en espacios culturales e independientes.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3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Agenda académica como simposios, conferencias y talleres. </w:t>
      </w:r>
    </w:p>
    <w:p w:rsidR="0070445A" w:rsidRDefault="0070445A" w:rsidP="0070445A">
      <w:pPr>
        <w:pStyle w:val="Prrafodelista"/>
        <w:keepLines/>
        <w:widowControl w:val="0"/>
        <w:numPr>
          <w:ilvl w:val="0"/>
          <w:numId w:val="13"/>
        </w:numPr>
        <w:tabs>
          <w:tab w:val="left" w:pos="3576"/>
          <w:tab w:val="left" w:pos="5617"/>
        </w:tabs>
        <w:spacing w:before="240"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 xml:space="preserve">Actividades de mediación y formación de públicos, con énfasis en población infantil, juvenil y adultos mayores. </w:t>
      </w:r>
    </w:p>
    <w:p w:rsidR="0070445A" w:rsidRDefault="0070445A" w:rsidP="0070445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Programación complementaria de actividades culturales.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7.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Financiación.</w:t>
      </w:r>
      <w:r w:rsidRPr="75311818">
        <w:rPr>
          <w:rFonts w:ascii="Arial" w:eastAsia="Arial" w:hAnsi="Arial" w:cs="Arial"/>
        </w:rPr>
        <w:t xml:space="preserve"> La realización de la Bienal Internacional de Arte y Ciudad de Bogotá se financiará a través de:  </w:t>
      </w:r>
    </w:p>
    <w:p w:rsidR="0070445A" w:rsidRDefault="0070445A" w:rsidP="0070445A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Recursos del presupuesto distrital asignados al Sector Cultura, Recreación y Deporte.</w:t>
      </w:r>
    </w:p>
    <w:p w:rsidR="0070445A" w:rsidRDefault="0070445A" w:rsidP="0070445A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Alianzas estratégicas con el sector privado.</w:t>
      </w:r>
    </w:p>
    <w:p w:rsidR="0070445A" w:rsidRDefault="0070445A" w:rsidP="0070445A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Recursos de cooperación nacional e internacional.</w:t>
      </w:r>
    </w:p>
    <w:p w:rsidR="0070445A" w:rsidRDefault="0070445A" w:rsidP="0070445A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Aportes de instituciones académicas y culturales.</w:t>
      </w:r>
    </w:p>
    <w:p w:rsidR="0070445A" w:rsidRPr="0070445A" w:rsidRDefault="0070445A" w:rsidP="0070445A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</w:rPr>
        <w:t>Otras fuentes de financiación lícitas.</w:t>
      </w:r>
    </w:p>
    <w:p w:rsidR="0070445A" w:rsidRDefault="0070445A" w:rsidP="0070445A">
      <w:pPr>
        <w:jc w:val="both"/>
        <w:rPr>
          <w:rFonts w:ascii="Arial" w:eastAsia="Arial" w:hAnsi="Arial" w:cs="Arial"/>
          <w:b/>
          <w:bCs/>
        </w:rPr>
      </w:pP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8.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Espacios.</w:t>
      </w:r>
      <w:r w:rsidRPr="75311818">
        <w:rPr>
          <w:rFonts w:ascii="Arial" w:eastAsia="Arial" w:hAnsi="Arial" w:cs="Arial"/>
        </w:rPr>
        <w:t xml:space="preserve"> La Bienal se desarrollará prioritariamente en espacios públicos emblemáticos de la ciudad, sin perjuicio de la utilización de espacios culturales, académicos y privados que contribuyan a sus objetivos.  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Parágrafo.</w:t>
      </w:r>
      <w:r w:rsidRPr="75311818">
        <w:rPr>
          <w:rFonts w:ascii="Arial" w:eastAsia="Arial" w:hAnsi="Arial" w:cs="Arial"/>
        </w:rPr>
        <w:t xml:space="preserve"> La Administración Distrital facilitará el uso de espacios públicos distritales para la realización de las actividades de la Bienal, garantizando el cumplimiento de las normas de seguridad y conservación del patrimonio. 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  <w:r w:rsidRPr="75311818">
        <w:rPr>
          <w:rFonts w:ascii="Arial" w:eastAsia="Arial" w:hAnsi="Arial" w:cs="Arial"/>
          <w:b/>
          <w:bCs/>
        </w:rPr>
        <w:t>Artículo 9.</w:t>
      </w:r>
      <w:r w:rsidR="00854B25">
        <w:rPr>
          <w:rFonts w:ascii="Arial" w:eastAsia="Arial" w:hAnsi="Arial" w:cs="Arial"/>
          <w:b/>
          <w:bCs/>
        </w:rPr>
        <w:t>-</w:t>
      </w:r>
      <w:r w:rsidRPr="75311818">
        <w:rPr>
          <w:rFonts w:ascii="Arial" w:eastAsia="Arial" w:hAnsi="Arial" w:cs="Arial"/>
          <w:b/>
          <w:bCs/>
        </w:rPr>
        <w:t xml:space="preserve"> Vigencia. </w:t>
      </w:r>
      <w:r w:rsidRPr="75311818">
        <w:rPr>
          <w:rFonts w:ascii="Arial" w:eastAsia="Arial" w:hAnsi="Arial" w:cs="Arial"/>
        </w:rPr>
        <w:t>El presente Acuerdo rige a partir de la fecha de su publicación y deroga las disposiciones que le sean contrarias.</w:t>
      </w:r>
    </w:p>
    <w:p w:rsidR="0070445A" w:rsidRDefault="0070445A" w:rsidP="0070445A">
      <w:pPr>
        <w:jc w:val="both"/>
        <w:rPr>
          <w:rFonts w:ascii="Arial" w:eastAsia="Arial" w:hAnsi="Arial" w:cs="Arial"/>
        </w:rPr>
      </w:pPr>
    </w:p>
    <w:p w:rsidR="00E00933" w:rsidRPr="00AD7E15" w:rsidRDefault="0070445A" w:rsidP="00854B25">
      <w:pPr>
        <w:widowControl w:val="0"/>
        <w:tabs>
          <w:tab w:val="left" w:pos="3576"/>
          <w:tab w:val="left" w:pos="5617"/>
        </w:tabs>
        <w:ind w:left="360"/>
        <w:jc w:val="center"/>
        <w:rPr>
          <w:rFonts w:ascii="Arial" w:hAnsi="Arial" w:cs="Arial"/>
        </w:rPr>
      </w:pPr>
      <w:r w:rsidRPr="75311818">
        <w:rPr>
          <w:rFonts w:ascii="Arial" w:eastAsia="Arial" w:hAnsi="Arial" w:cs="Arial"/>
          <w:b/>
          <w:bCs/>
        </w:rPr>
        <w:t>PUBLÍQUESE Y CÚMPLASE</w:t>
      </w:r>
      <w:r>
        <w:br/>
      </w:r>
    </w:p>
    <w:sectPr w:rsidR="00E00933" w:rsidRPr="00AD7E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0A5E"/>
    <w:multiLevelType w:val="hybridMultilevel"/>
    <w:tmpl w:val="BAB657F6"/>
    <w:lvl w:ilvl="0" w:tplc="C8FAD8FE">
      <w:start w:val="1"/>
      <w:numFmt w:val="decimal"/>
      <w:lvlText w:val="%1."/>
      <w:lvlJc w:val="left"/>
      <w:pPr>
        <w:ind w:left="720" w:hanging="360"/>
      </w:pPr>
    </w:lvl>
    <w:lvl w:ilvl="1" w:tplc="4B821F4A">
      <w:start w:val="1"/>
      <w:numFmt w:val="lowerLetter"/>
      <w:lvlText w:val="%2."/>
      <w:lvlJc w:val="left"/>
      <w:pPr>
        <w:ind w:left="1440" w:hanging="360"/>
      </w:pPr>
    </w:lvl>
    <w:lvl w:ilvl="2" w:tplc="C5C81B6A">
      <w:start w:val="1"/>
      <w:numFmt w:val="lowerRoman"/>
      <w:lvlText w:val="%3."/>
      <w:lvlJc w:val="right"/>
      <w:pPr>
        <w:ind w:left="2160" w:hanging="180"/>
      </w:pPr>
    </w:lvl>
    <w:lvl w:ilvl="3" w:tplc="1F043818">
      <w:start w:val="1"/>
      <w:numFmt w:val="decimal"/>
      <w:lvlText w:val="%4."/>
      <w:lvlJc w:val="left"/>
      <w:pPr>
        <w:ind w:left="2880" w:hanging="360"/>
      </w:pPr>
    </w:lvl>
    <w:lvl w:ilvl="4" w:tplc="7DDCBD2C">
      <w:start w:val="1"/>
      <w:numFmt w:val="lowerLetter"/>
      <w:lvlText w:val="%5."/>
      <w:lvlJc w:val="left"/>
      <w:pPr>
        <w:ind w:left="3600" w:hanging="360"/>
      </w:pPr>
    </w:lvl>
    <w:lvl w:ilvl="5" w:tplc="DC066C8C">
      <w:start w:val="1"/>
      <w:numFmt w:val="lowerRoman"/>
      <w:lvlText w:val="%6."/>
      <w:lvlJc w:val="right"/>
      <w:pPr>
        <w:ind w:left="4320" w:hanging="180"/>
      </w:pPr>
    </w:lvl>
    <w:lvl w:ilvl="6" w:tplc="C318F2A8">
      <w:start w:val="1"/>
      <w:numFmt w:val="decimal"/>
      <w:lvlText w:val="%7."/>
      <w:lvlJc w:val="left"/>
      <w:pPr>
        <w:ind w:left="5040" w:hanging="360"/>
      </w:pPr>
    </w:lvl>
    <w:lvl w:ilvl="7" w:tplc="9C9A6BE4">
      <w:start w:val="1"/>
      <w:numFmt w:val="lowerLetter"/>
      <w:lvlText w:val="%8."/>
      <w:lvlJc w:val="left"/>
      <w:pPr>
        <w:ind w:left="5760" w:hanging="360"/>
      </w:pPr>
    </w:lvl>
    <w:lvl w:ilvl="8" w:tplc="9736878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2EF89F"/>
    <w:multiLevelType w:val="hybridMultilevel"/>
    <w:tmpl w:val="2B76D892"/>
    <w:lvl w:ilvl="0" w:tplc="D32A8A80">
      <w:start w:val="1"/>
      <w:numFmt w:val="decimal"/>
      <w:lvlText w:val="%1."/>
      <w:lvlJc w:val="left"/>
      <w:pPr>
        <w:ind w:left="720" w:hanging="360"/>
      </w:pPr>
    </w:lvl>
    <w:lvl w:ilvl="1" w:tplc="C32A9584">
      <w:start w:val="1"/>
      <w:numFmt w:val="lowerLetter"/>
      <w:lvlText w:val="%2."/>
      <w:lvlJc w:val="left"/>
      <w:pPr>
        <w:ind w:left="1440" w:hanging="360"/>
      </w:pPr>
    </w:lvl>
    <w:lvl w:ilvl="2" w:tplc="8E027AAE">
      <w:start w:val="1"/>
      <w:numFmt w:val="lowerRoman"/>
      <w:lvlText w:val="%3."/>
      <w:lvlJc w:val="right"/>
      <w:pPr>
        <w:ind w:left="2160" w:hanging="180"/>
      </w:pPr>
    </w:lvl>
    <w:lvl w:ilvl="3" w:tplc="D1182072">
      <w:start w:val="1"/>
      <w:numFmt w:val="decimal"/>
      <w:lvlText w:val="%4."/>
      <w:lvlJc w:val="left"/>
      <w:pPr>
        <w:ind w:left="2880" w:hanging="360"/>
      </w:pPr>
    </w:lvl>
    <w:lvl w:ilvl="4" w:tplc="FC9448CE">
      <w:start w:val="1"/>
      <w:numFmt w:val="lowerLetter"/>
      <w:lvlText w:val="%5."/>
      <w:lvlJc w:val="left"/>
      <w:pPr>
        <w:ind w:left="3600" w:hanging="360"/>
      </w:pPr>
    </w:lvl>
    <w:lvl w:ilvl="5" w:tplc="5CA6B5BA">
      <w:start w:val="1"/>
      <w:numFmt w:val="lowerRoman"/>
      <w:lvlText w:val="%6."/>
      <w:lvlJc w:val="right"/>
      <w:pPr>
        <w:ind w:left="4320" w:hanging="180"/>
      </w:pPr>
    </w:lvl>
    <w:lvl w:ilvl="6" w:tplc="54BE4D1A">
      <w:start w:val="1"/>
      <w:numFmt w:val="decimal"/>
      <w:lvlText w:val="%7."/>
      <w:lvlJc w:val="left"/>
      <w:pPr>
        <w:ind w:left="5040" w:hanging="360"/>
      </w:pPr>
    </w:lvl>
    <w:lvl w:ilvl="7" w:tplc="32A07720">
      <w:start w:val="1"/>
      <w:numFmt w:val="lowerLetter"/>
      <w:lvlText w:val="%8."/>
      <w:lvlJc w:val="left"/>
      <w:pPr>
        <w:ind w:left="5760" w:hanging="360"/>
      </w:pPr>
    </w:lvl>
    <w:lvl w:ilvl="8" w:tplc="A6A6A95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E0409"/>
    <w:multiLevelType w:val="hybridMultilevel"/>
    <w:tmpl w:val="72941B26"/>
    <w:lvl w:ilvl="0" w:tplc="E67CAF34">
      <w:start w:val="1"/>
      <w:numFmt w:val="decimal"/>
      <w:lvlText w:val="%1."/>
      <w:lvlJc w:val="left"/>
      <w:pPr>
        <w:ind w:left="720" w:hanging="360"/>
      </w:pPr>
    </w:lvl>
    <w:lvl w:ilvl="1" w:tplc="0FEC48EE">
      <w:start w:val="1"/>
      <w:numFmt w:val="lowerLetter"/>
      <w:lvlText w:val="%2."/>
      <w:lvlJc w:val="left"/>
      <w:pPr>
        <w:ind w:left="1440" w:hanging="360"/>
      </w:pPr>
    </w:lvl>
    <w:lvl w:ilvl="2" w:tplc="3B5E155C">
      <w:start w:val="1"/>
      <w:numFmt w:val="lowerRoman"/>
      <w:lvlText w:val="%3."/>
      <w:lvlJc w:val="right"/>
      <w:pPr>
        <w:ind w:left="2160" w:hanging="180"/>
      </w:pPr>
    </w:lvl>
    <w:lvl w:ilvl="3" w:tplc="AEF698B8">
      <w:start w:val="1"/>
      <w:numFmt w:val="decimal"/>
      <w:lvlText w:val="%4."/>
      <w:lvlJc w:val="left"/>
      <w:pPr>
        <w:ind w:left="2880" w:hanging="360"/>
      </w:pPr>
    </w:lvl>
    <w:lvl w:ilvl="4" w:tplc="35EE7210">
      <w:start w:val="1"/>
      <w:numFmt w:val="lowerLetter"/>
      <w:lvlText w:val="%5."/>
      <w:lvlJc w:val="left"/>
      <w:pPr>
        <w:ind w:left="3600" w:hanging="360"/>
      </w:pPr>
    </w:lvl>
    <w:lvl w:ilvl="5" w:tplc="6D9C5616">
      <w:start w:val="1"/>
      <w:numFmt w:val="lowerRoman"/>
      <w:lvlText w:val="%6."/>
      <w:lvlJc w:val="right"/>
      <w:pPr>
        <w:ind w:left="4320" w:hanging="180"/>
      </w:pPr>
    </w:lvl>
    <w:lvl w:ilvl="6" w:tplc="EF4617F0">
      <w:start w:val="1"/>
      <w:numFmt w:val="decimal"/>
      <w:lvlText w:val="%7."/>
      <w:lvlJc w:val="left"/>
      <w:pPr>
        <w:ind w:left="5040" w:hanging="360"/>
      </w:pPr>
    </w:lvl>
    <w:lvl w:ilvl="7" w:tplc="C62058FA">
      <w:start w:val="1"/>
      <w:numFmt w:val="lowerLetter"/>
      <w:lvlText w:val="%8."/>
      <w:lvlJc w:val="left"/>
      <w:pPr>
        <w:ind w:left="5760" w:hanging="360"/>
      </w:pPr>
    </w:lvl>
    <w:lvl w:ilvl="8" w:tplc="CAAE0D7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60EEC"/>
    <w:multiLevelType w:val="hybridMultilevel"/>
    <w:tmpl w:val="462C52B2"/>
    <w:lvl w:ilvl="0" w:tplc="FA48428A">
      <w:start w:val="1"/>
      <w:numFmt w:val="decimal"/>
      <w:lvlText w:val="%1."/>
      <w:lvlJc w:val="left"/>
      <w:pPr>
        <w:ind w:left="720" w:hanging="360"/>
      </w:pPr>
    </w:lvl>
    <w:lvl w:ilvl="1" w:tplc="057A571E">
      <w:start w:val="1"/>
      <w:numFmt w:val="lowerLetter"/>
      <w:lvlText w:val="%2."/>
      <w:lvlJc w:val="left"/>
      <w:pPr>
        <w:ind w:left="1440" w:hanging="360"/>
      </w:pPr>
    </w:lvl>
    <w:lvl w:ilvl="2" w:tplc="B10E0B5C">
      <w:start w:val="1"/>
      <w:numFmt w:val="lowerRoman"/>
      <w:lvlText w:val="%3."/>
      <w:lvlJc w:val="right"/>
      <w:pPr>
        <w:ind w:left="2160" w:hanging="180"/>
      </w:pPr>
    </w:lvl>
    <w:lvl w:ilvl="3" w:tplc="1E2259EC">
      <w:start w:val="1"/>
      <w:numFmt w:val="decimal"/>
      <w:lvlText w:val="%4."/>
      <w:lvlJc w:val="left"/>
      <w:pPr>
        <w:ind w:left="2880" w:hanging="360"/>
      </w:pPr>
    </w:lvl>
    <w:lvl w:ilvl="4" w:tplc="1092EE74">
      <w:start w:val="1"/>
      <w:numFmt w:val="lowerLetter"/>
      <w:lvlText w:val="%5."/>
      <w:lvlJc w:val="left"/>
      <w:pPr>
        <w:ind w:left="3600" w:hanging="360"/>
      </w:pPr>
    </w:lvl>
    <w:lvl w:ilvl="5" w:tplc="A0DA3D60">
      <w:start w:val="1"/>
      <w:numFmt w:val="lowerRoman"/>
      <w:lvlText w:val="%6."/>
      <w:lvlJc w:val="right"/>
      <w:pPr>
        <w:ind w:left="4320" w:hanging="180"/>
      </w:pPr>
    </w:lvl>
    <w:lvl w:ilvl="6" w:tplc="03DC7CC6">
      <w:start w:val="1"/>
      <w:numFmt w:val="decimal"/>
      <w:lvlText w:val="%7."/>
      <w:lvlJc w:val="left"/>
      <w:pPr>
        <w:ind w:left="5040" w:hanging="360"/>
      </w:pPr>
    </w:lvl>
    <w:lvl w:ilvl="7" w:tplc="476A3BCC">
      <w:start w:val="1"/>
      <w:numFmt w:val="lowerLetter"/>
      <w:lvlText w:val="%8."/>
      <w:lvlJc w:val="left"/>
      <w:pPr>
        <w:ind w:left="5760" w:hanging="360"/>
      </w:pPr>
    </w:lvl>
    <w:lvl w:ilvl="8" w:tplc="5C26706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10"/>
  </w:num>
  <w:num w:numId="9">
    <w:abstractNumId w:val="12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7CC0"/>
    <w:rsid w:val="00021412"/>
    <w:rsid w:val="000237FC"/>
    <w:rsid w:val="000339A0"/>
    <w:rsid w:val="000466C4"/>
    <w:rsid w:val="0004688B"/>
    <w:rsid w:val="00061948"/>
    <w:rsid w:val="00063781"/>
    <w:rsid w:val="000669BB"/>
    <w:rsid w:val="00071421"/>
    <w:rsid w:val="000723C0"/>
    <w:rsid w:val="00074A57"/>
    <w:rsid w:val="0007628F"/>
    <w:rsid w:val="00081B05"/>
    <w:rsid w:val="000825DC"/>
    <w:rsid w:val="00084296"/>
    <w:rsid w:val="000923C0"/>
    <w:rsid w:val="000D1995"/>
    <w:rsid w:val="000E6103"/>
    <w:rsid w:val="000E6489"/>
    <w:rsid w:val="000E6870"/>
    <w:rsid w:val="000E7C00"/>
    <w:rsid w:val="000F3A07"/>
    <w:rsid w:val="000F58FB"/>
    <w:rsid w:val="0010325A"/>
    <w:rsid w:val="00113172"/>
    <w:rsid w:val="00113732"/>
    <w:rsid w:val="00116EF3"/>
    <w:rsid w:val="00117B1E"/>
    <w:rsid w:val="0012525B"/>
    <w:rsid w:val="00127280"/>
    <w:rsid w:val="00133303"/>
    <w:rsid w:val="00136B09"/>
    <w:rsid w:val="00155DDE"/>
    <w:rsid w:val="001608F3"/>
    <w:rsid w:val="00163A26"/>
    <w:rsid w:val="00167AEF"/>
    <w:rsid w:val="00172F18"/>
    <w:rsid w:val="00180666"/>
    <w:rsid w:val="00190DA8"/>
    <w:rsid w:val="001A02E0"/>
    <w:rsid w:val="001B09BC"/>
    <w:rsid w:val="001B0C8E"/>
    <w:rsid w:val="001B6D5A"/>
    <w:rsid w:val="001C44B7"/>
    <w:rsid w:val="001C596B"/>
    <w:rsid w:val="001D3CA8"/>
    <w:rsid w:val="001D4D8F"/>
    <w:rsid w:val="001D7E00"/>
    <w:rsid w:val="001E78BB"/>
    <w:rsid w:val="001F368E"/>
    <w:rsid w:val="001F60A3"/>
    <w:rsid w:val="001F6B74"/>
    <w:rsid w:val="001F700A"/>
    <w:rsid w:val="0020323B"/>
    <w:rsid w:val="00211657"/>
    <w:rsid w:val="00215725"/>
    <w:rsid w:val="00220265"/>
    <w:rsid w:val="00237267"/>
    <w:rsid w:val="002401FD"/>
    <w:rsid w:val="00252779"/>
    <w:rsid w:val="002532AE"/>
    <w:rsid w:val="002539D1"/>
    <w:rsid w:val="002633D5"/>
    <w:rsid w:val="002647C3"/>
    <w:rsid w:val="002658E4"/>
    <w:rsid w:val="0027000B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396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C10FF"/>
    <w:rsid w:val="003C22FC"/>
    <w:rsid w:val="003C3EFD"/>
    <w:rsid w:val="003E3B34"/>
    <w:rsid w:val="003F3E9D"/>
    <w:rsid w:val="004071E8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1573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0484"/>
    <w:rsid w:val="005D74F6"/>
    <w:rsid w:val="005E700C"/>
    <w:rsid w:val="006104C4"/>
    <w:rsid w:val="00616A46"/>
    <w:rsid w:val="006176E6"/>
    <w:rsid w:val="00625A23"/>
    <w:rsid w:val="00625E99"/>
    <w:rsid w:val="00632371"/>
    <w:rsid w:val="00653F5D"/>
    <w:rsid w:val="0065559E"/>
    <w:rsid w:val="00656DCD"/>
    <w:rsid w:val="00664AD2"/>
    <w:rsid w:val="006727AB"/>
    <w:rsid w:val="0067319F"/>
    <w:rsid w:val="00677DA7"/>
    <w:rsid w:val="00685132"/>
    <w:rsid w:val="006A03C0"/>
    <w:rsid w:val="006A2BD7"/>
    <w:rsid w:val="006B0CFE"/>
    <w:rsid w:val="006C09C1"/>
    <w:rsid w:val="006D41AE"/>
    <w:rsid w:val="006D45EA"/>
    <w:rsid w:val="006D6B78"/>
    <w:rsid w:val="006E6629"/>
    <w:rsid w:val="0070445A"/>
    <w:rsid w:val="00716602"/>
    <w:rsid w:val="00722025"/>
    <w:rsid w:val="00724F26"/>
    <w:rsid w:val="007310CE"/>
    <w:rsid w:val="007346A3"/>
    <w:rsid w:val="00734EB2"/>
    <w:rsid w:val="00744B00"/>
    <w:rsid w:val="007473C9"/>
    <w:rsid w:val="0075087C"/>
    <w:rsid w:val="00757CAA"/>
    <w:rsid w:val="00767E98"/>
    <w:rsid w:val="0077110A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30B36"/>
    <w:rsid w:val="00854B25"/>
    <w:rsid w:val="0086602D"/>
    <w:rsid w:val="00870D77"/>
    <w:rsid w:val="008756F6"/>
    <w:rsid w:val="00875DE5"/>
    <w:rsid w:val="008A095B"/>
    <w:rsid w:val="008B56AE"/>
    <w:rsid w:val="008E137D"/>
    <w:rsid w:val="00910ADE"/>
    <w:rsid w:val="009128B0"/>
    <w:rsid w:val="009454EF"/>
    <w:rsid w:val="00951D68"/>
    <w:rsid w:val="009569D7"/>
    <w:rsid w:val="009666AA"/>
    <w:rsid w:val="00970408"/>
    <w:rsid w:val="00983FDC"/>
    <w:rsid w:val="00992FC6"/>
    <w:rsid w:val="009B23E8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317E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D7E15"/>
    <w:rsid w:val="00AE5699"/>
    <w:rsid w:val="00B00C64"/>
    <w:rsid w:val="00B23EE0"/>
    <w:rsid w:val="00B26DF8"/>
    <w:rsid w:val="00B54493"/>
    <w:rsid w:val="00B61817"/>
    <w:rsid w:val="00B6225F"/>
    <w:rsid w:val="00B62923"/>
    <w:rsid w:val="00B677B1"/>
    <w:rsid w:val="00B762F8"/>
    <w:rsid w:val="00B76B90"/>
    <w:rsid w:val="00B76CA6"/>
    <w:rsid w:val="00B87FD4"/>
    <w:rsid w:val="00B9426C"/>
    <w:rsid w:val="00B96FC1"/>
    <w:rsid w:val="00B97AAA"/>
    <w:rsid w:val="00BA3367"/>
    <w:rsid w:val="00BC45C5"/>
    <w:rsid w:val="00BC69F0"/>
    <w:rsid w:val="00BC7E13"/>
    <w:rsid w:val="00BD0507"/>
    <w:rsid w:val="00BD17F2"/>
    <w:rsid w:val="00BD7B00"/>
    <w:rsid w:val="00BF2797"/>
    <w:rsid w:val="00BF73F4"/>
    <w:rsid w:val="00C061FD"/>
    <w:rsid w:val="00C12DFA"/>
    <w:rsid w:val="00C256AB"/>
    <w:rsid w:val="00C26DE5"/>
    <w:rsid w:val="00C3428D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67637"/>
    <w:rsid w:val="00C80DAB"/>
    <w:rsid w:val="00CA4540"/>
    <w:rsid w:val="00CA7601"/>
    <w:rsid w:val="00CB12CB"/>
    <w:rsid w:val="00CB2866"/>
    <w:rsid w:val="00CD7ED2"/>
    <w:rsid w:val="00CE2F50"/>
    <w:rsid w:val="00CE3DC0"/>
    <w:rsid w:val="00CE3F63"/>
    <w:rsid w:val="00CE52D8"/>
    <w:rsid w:val="00CF0D09"/>
    <w:rsid w:val="00CF320C"/>
    <w:rsid w:val="00D03B43"/>
    <w:rsid w:val="00D20D2A"/>
    <w:rsid w:val="00D213DF"/>
    <w:rsid w:val="00D30771"/>
    <w:rsid w:val="00D333CF"/>
    <w:rsid w:val="00D52E3D"/>
    <w:rsid w:val="00D545AF"/>
    <w:rsid w:val="00D644D0"/>
    <w:rsid w:val="00D674B1"/>
    <w:rsid w:val="00D77C6E"/>
    <w:rsid w:val="00D91893"/>
    <w:rsid w:val="00D973BD"/>
    <w:rsid w:val="00DD24CA"/>
    <w:rsid w:val="00DF6B4F"/>
    <w:rsid w:val="00E00933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517F"/>
    <w:rsid w:val="00ED02DA"/>
    <w:rsid w:val="00EE05C1"/>
    <w:rsid w:val="00EE4BFC"/>
    <w:rsid w:val="00EE6C8B"/>
    <w:rsid w:val="00EF581B"/>
    <w:rsid w:val="00EF597F"/>
    <w:rsid w:val="00F20A5A"/>
    <w:rsid w:val="00F35328"/>
    <w:rsid w:val="00F379AF"/>
    <w:rsid w:val="00F4602E"/>
    <w:rsid w:val="00F51EFA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0998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44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  <w:style w:type="character" w:customStyle="1" w:styleId="Ttulo3Car">
    <w:name w:val="Título 3 Car"/>
    <w:basedOn w:val="Fuentedeprrafopredeter"/>
    <w:link w:val="Ttulo3"/>
    <w:uiPriority w:val="9"/>
    <w:semiHidden/>
    <w:rsid w:val="007044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cp:lastPrinted>2026-03-05T20:38:00Z</cp:lastPrinted>
  <dcterms:created xsi:type="dcterms:W3CDTF">2026-03-05T20:39:00Z</dcterms:created>
  <dcterms:modified xsi:type="dcterms:W3CDTF">2026-03-05T20:39:00Z</dcterms:modified>
</cp:coreProperties>
</file>